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851" w:firstLine="63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Прокурору г.Майкопа</w:t>
      </w:r>
    </w:p>
    <w:p>
      <w:pPr>
        <w:spacing w:after="0"/>
        <w:ind w:left="-851" w:firstLine="6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М.В.Яковенко </w:t>
      </w:r>
    </w:p>
    <w:p>
      <w:pPr>
        <w:spacing w:after="0"/>
        <w:ind w:left="-851" w:firstLine="638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ind w:left="-851" w:firstLine="63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Крестьянская  ул., 213, Майкоп г.,   Россия, 385000,</w:t>
      </w:r>
    </w:p>
    <w:p>
      <w:pPr>
        <w:spacing w:after="0"/>
        <w:ind w:left="-851" w:firstLine="63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жителей, проживающих  в </w:t>
      </w:r>
    </w:p>
    <w:p>
      <w:pPr>
        <w:spacing w:after="0"/>
        <w:ind w:left="-851" w:firstLine="63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СНТ «Дружба» </w:t>
      </w:r>
    </w:p>
    <w:p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Уважаемый Максим Владимирович!</w:t>
      </w:r>
    </w:p>
    <w:p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>
      <w:p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Руководствуясь положениями инструкции о порядке рассмотрения обращений и приема граждан в органах прокуратуры Российской Федерации, утвержденной Приказом Генеральной прокуратуры от 30 января 2013 года  № 45 (далее – Инструкция Генеральной прокуратуры № 45), направляем  для рассмотрения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жалобу на ответ заместителя   прокурора  г. Майкопа Горобенко Т.В. </w:t>
      </w:r>
      <w:r>
        <w:rPr>
          <w:rFonts w:ascii="Times New Roman" w:hAnsi="Times New Roman" w:cs="Times New Roman"/>
          <w:sz w:val="26"/>
          <w:szCs w:val="26"/>
        </w:rPr>
        <w:t xml:space="preserve">от 14.07.2023  №1830-2023 (далее  - Ответ Прокуратуры) на наше обращение от 19.06.2023 (с личного приема Наливайко С.С. 16.06.2023; далее – Обращение от 19.06.2023)  </w:t>
      </w:r>
      <w:r>
        <w:rPr>
          <w:rFonts w:ascii="Times New Roman" w:hAnsi="Times New Roman" w:cs="Times New Roman"/>
          <w:b/>
          <w:sz w:val="26"/>
          <w:szCs w:val="26"/>
        </w:rPr>
        <w:t>по вопросу включения ПАО «ТНС энерго Кубань» (далее – Кубаньэнерго)  платы за потери ресурса в квитанции жителей СНТ, находящихся на прямых договорах на поставку электроэнергии.</w:t>
      </w:r>
      <w:r>
        <w:rPr>
          <w:rFonts w:ascii="Times New Roman" w:hAnsi="Times New Roman" w:cs="Times New Roman"/>
          <w:sz w:val="26"/>
          <w:szCs w:val="26"/>
        </w:rPr>
        <w:t xml:space="preserve"> Считаем, что в нарушение п.6.1. Инструкции Генеральной прокуратуры № 45 по нашему обращению заместителем  Прокурора  г. Майкопа Горобенко Т.В. допущена неполнота проверочных действий, не приняты  в соответствии с действующим законодательством необходимые меры к устранению нарушений законодательства.  Считаем, что наше обращение не получило до конца объективного, всестороннего и, самое главное, </w:t>
      </w:r>
      <w:r>
        <w:rPr>
          <w:rFonts w:ascii="Times New Roman" w:hAnsi="Times New Roman" w:cs="Times New Roman"/>
          <w:b/>
          <w:sz w:val="26"/>
          <w:szCs w:val="26"/>
        </w:rPr>
        <w:t>окончательного разрешения</w:t>
      </w:r>
      <w:r>
        <w:rPr>
          <w:rFonts w:ascii="Times New Roman" w:hAnsi="Times New Roman" w:cs="Times New Roman"/>
          <w:sz w:val="26"/>
          <w:szCs w:val="26"/>
        </w:rPr>
        <w:t xml:space="preserve">, о чем свидетельствует следующее. </w:t>
      </w:r>
    </w:p>
    <w:p>
      <w:pPr>
        <w:pStyle w:val="14"/>
        <w:shd w:val="clear" w:color="auto" w:fill="auto"/>
        <w:spacing w:line="240" w:lineRule="auto"/>
        <w:ind w:left="567" w:right="-24" w:firstLine="74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В нашем </w:t>
      </w:r>
      <w:r>
        <w:rPr>
          <w:sz w:val="26"/>
          <w:szCs w:val="26"/>
        </w:rPr>
        <w:t>Обращении от 19.06.2023 мы указываем на то, что согласно п. 149 Правил Постановления Правительства РФ от 04.05.2012 N 442 …в случае заключения договора энергоснабжения гражданами, осуществляющими ведение садоводства</w:t>
      </w:r>
      <w:r>
        <w:rPr>
          <w:b/>
          <w:sz w:val="26"/>
          <w:szCs w:val="26"/>
        </w:rPr>
        <w:t>…</w:t>
      </w:r>
      <w:r>
        <w:rPr>
          <w:sz w:val="26"/>
          <w:szCs w:val="26"/>
        </w:rPr>
        <w:t>,</w:t>
      </w:r>
      <w:r>
        <w:rPr>
          <w:rStyle w:val="19"/>
          <w:sz w:val="26"/>
          <w:szCs w:val="26"/>
        </w:rPr>
        <w:t xml:space="preserve"> </w:t>
      </w:r>
      <w:r>
        <w:rPr>
          <w:rStyle w:val="19"/>
          <w:b w:val="0"/>
          <w:sz w:val="26"/>
          <w:szCs w:val="26"/>
        </w:rPr>
        <w:t>такие лица обязаны оплачивать</w:t>
      </w:r>
      <w:r>
        <w:rPr>
          <w:sz w:val="26"/>
          <w:szCs w:val="26"/>
        </w:rPr>
        <w:t xml:space="preserve"> часть стоимости элекроэнергии, потребленной при использовании объектов имущества общего пользования садоводческих некоммерческих объединений (СНО) и часть потерь электроэнергии, возникающих в объектах электросетевого хозяйства, относящихся к имуществу общего пользования НСО,</w:t>
      </w:r>
      <w:r>
        <w:rPr>
          <w:rStyle w:val="19"/>
          <w:sz w:val="26"/>
          <w:szCs w:val="26"/>
        </w:rPr>
        <w:t xml:space="preserve"> в адрес такого садоводческого или огороднического некоммерческого товарищества</w:t>
      </w:r>
      <w:r>
        <w:rPr>
          <w:rStyle w:val="19"/>
          <w:b w:val="0"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Положение данного пункта Правил свидетельствует о том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 что</w:t>
      </w:r>
      <w:r>
        <w:rPr>
          <w:rStyle w:val="19"/>
          <w:rFonts w:eastAsiaTheme="minorHAnsi"/>
          <w:b w:val="0"/>
          <w:sz w:val="26"/>
          <w:szCs w:val="26"/>
        </w:rPr>
        <w:t xml:space="preserve"> садоводы не должны платить потери в Кубаньэнерго, а рассчитываться только через взносы в СНТ.</w:t>
      </w:r>
    </w:p>
    <w:p>
      <w:pPr>
        <w:pStyle w:val="10"/>
        <w:shd w:val="clear" w:color="auto" w:fill="auto"/>
        <w:spacing w:line="240" w:lineRule="auto"/>
        <w:ind w:left="567" w:right="40" w:firstLine="80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Также  в соответствии с п. 130 Основных положений функционирования розничных рынков электрической энергии, утвержденных Постановлением Правительства РФ от 04.05.2012 года № 442 …при отсутствии заключенного в письменной форме договора о приобретении электроэнергии (мощности) для целей компенсации потерь электроэнергии … сетевые организации (иные владельцы объектов электросетевого хозяйства) оплачивают стоимость электроэнергии в объеме фактических потерь электроэнергии гарантирующему поставщику, в границах зоны деятельности которого расположены объекты электросетевого хозяйства сетевой организации (иного владельца объектов электросетевого хозяйства). </w:t>
      </w:r>
      <w:r>
        <w:rPr>
          <w:b/>
          <w:sz w:val="26"/>
          <w:szCs w:val="26"/>
        </w:rPr>
        <w:t xml:space="preserve">Опять же – владельцы  объектов электросетевого хозяйства платят гарантирующему поставщику, а не граждане – жители СНТ! </w:t>
      </w:r>
    </w:p>
    <w:p>
      <w:pPr>
        <w:pStyle w:val="27"/>
        <w:shd w:val="clear" w:color="auto" w:fill="FFFFFF"/>
        <w:spacing w:before="0" w:beforeAutospacing="0" w:after="0" w:afterAutospacing="0"/>
        <w:ind w:left="567" w:hanging="1134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              Далее, в Обращении от 19.06.2023 мы указываем на то, что согласно Федерального закона</w:t>
      </w:r>
      <w:r>
        <w:rPr>
          <w:sz w:val="26"/>
          <w:szCs w:val="26"/>
          <w:shd w:val="clear" w:color="auto" w:fill="FFFFFF"/>
        </w:rPr>
        <w:t xml:space="preserve"> от 29.07.2017 </w:t>
      </w:r>
      <w:r>
        <w:rPr>
          <w:sz w:val="26"/>
          <w:szCs w:val="26"/>
        </w:rPr>
        <w:t xml:space="preserve"> №</w:t>
      </w:r>
      <w:r>
        <w:rPr>
          <w:sz w:val="26"/>
          <w:szCs w:val="26"/>
          <w:shd w:val="clear" w:color="auto" w:fill="FFFFFF"/>
        </w:rPr>
        <w:t xml:space="preserve">217-ФЗ все садоводы (члены СНТ и лица, ведущие садоводство в индивидуальном порядке), платят членские, целевые и иные взносы. При этом, конкретными расходами (взносами) по электроэнергии являются: расходы на  «осуществление расчетов с поставщиками … электрической энергии … на основании договоров, заключенных с этими организациями» (пп.2) п.5 ст.14), расходы, связанные «с содержанием имущества общего пользования» (пп.1) п.5 ст.14) (в СНТ это уличное освещение, правление и т.д.). В аналогичном порядке через взносы разрешается оплата потерь электроэнергии в электросетях и трансформаторе СНТ. </w:t>
      </w:r>
    </w:p>
    <w:p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b/>
          <w:sz w:val="26"/>
          <w:szCs w:val="26"/>
          <w:shd w:val="clear" w:color="auto" w:fill="FFFFFF"/>
        </w:rPr>
        <w:t xml:space="preserve">     </w:t>
      </w:r>
    </w:p>
    <w:p>
      <w:pPr>
        <w:tabs>
          <w:tab w:val="left" w:pos="686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В Ответе Прокуратуры указано (абз. 5  стр.1), что действующим законодательством не предусмотрена правовая возможность </w:t>
      </w:r>
      <w:r>
        <w:rPr>
          <w:rFonts w:ascii="Times New Roman" w:hAnsi="Times New Roman" w:cs="Times New Roman"/>
          <w:b/>
          <w:bCs/>
          <w:sz w:val="26"/>
          <w:szCs w:val="26"/>
        </w:rPr>
        <w:t>гарантирующему поставщику производить начисление на потребленную электрическую энергию, используемую в целях содержания общего имущества  садоводческого товарищества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. И далее (абз.1 стр.2) - действующим законодательством закреплен правовой механизм оплаты потребленной электрической энергии, используемой в целях содержания общего имущества садоводческого товарищества, </w:t>
      </w:r>
      <w:r>
        <w:rPr>
          <w:rFonts w:ascii="Times New Roman" w:hAnsi="Times New Roman" w:cs="Times New Roman"/>
          <w:b/>
          <w:bCs/>
          <w:sz w:val="26"/>
          <w:szCs w:val="26"/>
        </w:rPr>
        <w:t>непосредственно через само  садоводческое  товарищество.</w:t>
      </w:r>
    </w:p>
    <w:p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В Ответе Прокуратурой города подтверждается (абз. 2 стр.2) </w:t>
      </w:r>
      <w:r>
        <w:rPr>
          <w:rFonts w:ascii="Times New Roman" w:hAnsi="Times New Roman" w:cs="Times New Roman"/>
          <w:b/>
          <w:bCs/>
          <w:sz w:val="26"/>
          <w:szCs w:val="26"/>
        </w:rPr>
        <w:t>нарушение Закона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Адыгейским филиалом </w:t>
      </w:r>
      <w:r>
        <w:rPr>
          <w:rFonts w:ascii="Times New Roman" w:hAnsi="Times New Roman" w:cs="Times New Roman"/>
          <w:sz w:val="26"/>
          <w:szCs w:val="26"/>
        </w:rPr>
        <w:t xml:space="preserve">ПАО «ТНС энерго Кубань» в части начисления собственникам участков СНТ за потребленную  </w:t>
      </w:r>
      <w:r>
        <w:rPr>
          <w:rFonts w:ascii="Times New Roman" w:hAnsi="Times New Roman" w:cs="Times New Roman"/>
          <w:bCs/>
          <w:sz w:val="26"/>
          <w:szCs w:val="26"/>
        </w:rPr>
        <w:t>электрическую энергию, используемую в целях содержания общего имущества СНТ!</w:t>
      </w:r>
    </w:p>
    <w:p>
      <w:pPr>
        <w:spacing w:after="0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Т.е. как мы понимаем из Ответа Прокуратуры действия Кубаньэнерго по включению </w:t>
      </w:r>
      <w:r>
        <w:rPr>
          <w:rFonts w:ascii="Times New Roman" w:hAnsi="Times New Roman" w:cs="Times New Roman"/>
          <w:sz w:val="26"/>
          <w:szCs w:val="26"/>
        </w:rPr>
        <w:t xml:space="preserve">платы за энергопотери ресурса в квитанции жителей СНТ, находящихся на прямых договорах на поставку электроэнергии, </w:t>
      </w:r>
      <w:r>
        <w:rPr>
          <w:rFonts w:ascii="Times New Roman" w:hAnsi="Times New Roman" w:cs="Times New Roman"/>
          <w:b/>
          <w:sz w:val="26"/>
          <w:szCs w:val="26"/>
        </w:rPr>
        <w:t>незаконны.</w:t>
      </w:r>
    </w:p>
    <w:p>
      <w:pPr>
        <w:tabs>
          <w:tab w:val="left" w:pos="1428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Однако, далее в Ответе Прокуратуры содержится иная информация (абз.3,4,5 стр.2) о том, что  при расчете за потери электроэнергии, возникающие в объектах электросетевого хозяйства  СНТ,  Кубаньэнерго не учитываются  216 собственников садовых участков СНТ (т.е. тех садоводов, кто не на прямых договорах), что приводит к необоснованному увеличению   размера произведенных начислений 635 абонентам, которые на прямых договорах. И по </w:t>
      </w:r>
      <w:r>
        <w:rPr>
          <w:rFonts w:ascii="Times New Roman" w:hAnsi="Times New Roman" w:cs="Times New Roman"/>
          <w:b/>
          <w:bCs/>
          <w:sz w:val="26"/>
          <w:szCs w:val="26"/>
        </w:rPr>
        <w:t>данному несоответствию Прокуратурой города  в Кубаньэнерго 10.07.2023 внесено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представление о необходимости пересчета платы  за потребленную энергию с учетом бездоговорников, тем самым Прокуратурой города дано право Кубаньэнерго продолжать взыскивать энергопотери с людей в нарушение законодательства РФ.</w:t>
      </w:r>
    </w:p>
    <w:p>
      <w:pPr>
        <w:tabs>
          <w:tab w:val="left" w:pos="1428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Т.е. сначала в Ответе Прокуратуры говорится о незаконности действий Кубаньэнерго, но вместо </w:t>
      </w:r>
      <w:r>
        <w:rPr>
          <w:rFonts w:ascii="Times New Roman" w:hAnsi="Times New Roman" w:cs="Times New Roman"/>
          <w:b/>
          <w:sz w:val="26"/>
          <w:szCs w:val="26"/>
        </w:rPr>
        <w:t>внесения Представления Кубаньэнерго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 отмене незаконного включения платы за потери ресурса СНТ</w:t>
      </w:r>
      <w:r>
        <w:rPr>
          <w:rFonts w:ascii="Times New Roman" w:hAnsi="Times New Roman" w:cs="Times New Roman"/>
          <w:sz w:val="26"/>
          <w:szCs w:val="26"/>
        </w:rPr>
        <w:t xml:space="preserve"> в квитанциях садоводов (с перерасчетом по оплаченным квитанциям), как мы это просили в своем Обращении от 19.06.2023, Прокуратурой города вносится представление Кубаньэнерго с иным содержанием - о пересчете энергопотерь с учетом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216 собственников садовых участков СНТ – бездоговорников. </w:t>
      </w:r>
      <w:r>
        <w:rPr>
          <w:rFonts w:ascii="Times New Roman" w:hAnsi="Times New Roman" w:cs="Times New Roman"/>
          <w:b/>
          <w:bCs/>
          <w:sz w:val="26"/>
          <w:szCs w:val="26"/>
        </w:rPr>
        <w:t>Исходя из чего потери СНТ остаются в наших квитанциях, только для нас  теперь эти потери  после пересчета уменьшатся ориентировочно на  +/- 100 рублей!</w:t>
      </w:r>
    </w:p>
    <w:p>
      <w:pPr>
        <w:tabs>
          <w:tab w:val="left" w:pos="1428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Учитывая все изложенное выше, просим:</w:t>
      </w:r>
    </w:p>
    <w:p>
      <w:pPr>
        <w:tabs>
          <w:tab w:val="left" w:pos="1428"/>
        </w:tabs>
        <w:spacing w:after="0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1) Четко разъяснить итоговую позицию прокуратуры города в своем Ответе, также </w:t>
      </w:r>
      <w:r>
        <w:rPr>
          <w:rFonts w:ascii="Times New Roman" w:hAnsi="Times New Roman" w:cs="Times New Roman"/>
          <w:b/>
          <w:bCs/>
          <w:sz w:val="26"/>
          <w:szCs w:val="26"/>
        </w:rPr>
        <w:t>указать причины  не</w:t>
      </w:r>
      <w:r>
        <w:rPr>
          <w:rFonts w:ascii="Times New Roman" w:hAnsi="Times New Roman" w:cs="Times New Roman"/>
          <w:b/>
          <w:sz w:val="26"/>
          <w:szCs w:val="26"/>
        </w:rPr>
        <w:t>принятия мер прокурорского реагирования (внесения представления)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при установлении своей  проверкой нарушений закона в части неправомерного (незаконного)  включения Кубаньэнерго платы за потери ресурса в квитанции жителей СНТ. Принять  соответствующие   меры  прокурорского реагирования к Кубаньэнерго по нарушению Закона.</w:t>
      </w: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Ответить, почему не была </w:t>
      </w:r>
      <w:r>
        <w:rPr>
          <w:rFonts w:ascii="Times New Roman" w:hAnsi="Times New Roman" w:cs="Times New Roman"/>
          <w:sz w:val="26"/>
          <w:szCs w:val="26"/>
        </w:rPr>
        <w:t xml:space="preserve">проведена проверка в СНТ в части сбора членских и иных взносов от садоводов и неперечисления собранных во взносах  энергопотерь в Кубаньэнерго, в нарушение Федерального Закона  от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29.07.2017  </w:t>
      </w:r>
      <w:r>
        <w:rPr>
          <w:rFonts w:ascii="Times New Roman" w:hAnsi="Times New Roman" w:cs="Times New Roman"/>
          <w:sz w:val="26"/>
          <w:szCs w:val="26"/>
        </w:rPr>
        <w:t>№217-ФЗ, о чем мы просили в своем Обращении.</w:t>
      </w:r>
    </w:p>
    <w:p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3) Кроме того, к своему Обращению </w:t>
      </w:r>
      <w:r>
        <w:rPr>
          <w:rFonts w:ascii="Times New Roman" w:hAnsi="Times New Roman" w:cs="Times New Roman"/>
          <w:sz w:val="26"/>
          <w:szCs w:val="26"/>
        </w:rPr>
        <w:t xml:space="preserve">от 19.06.2023 мы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приложили копии протоколов общих собраний, согласно которым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 уличное освещение, а также на увеличение расходов связанных с содержанием общедолевой собственности, деньги собираются Правлением СНТ в членских и иных взносах, но не оплачивались и не оплачиваются Правлением СНТ в  Кубаньэнерго, порождая огромные долги СНТ перед Кубаньэнерго! 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Т.е. на сегодня и СНТ и Кубаньэнерго с людей  берет за потери, получается дважд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ы! Почему  при рассмотрении нашего Обращения </w:t>
      </w:r>
      <w:r>
        <w:rPr>
          <w:rFonts w:ascii="Times New Roman" w:hAnsi="Times New Roman" w:cs="Times New Roman"/>
          <w:sz w:val="26"/>
          <w:szCs w:val="26"/>
        </w:rPr>
        <w:t>от 19.06.2023 данные обстоятельства, отраженные в Протоколах общих собраний, прокуратурой города никак не учитывались?</w:t>
      </w:r>
    </w:p>
    <w:p>
      <w:pPr>
        <w:spacing w:after="0" w:line="240" w:lineRule="auto"/>
        <w:ind w:left="567" w:hanging="567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О принятом решении просим сообщить заявителям в предусмотренный законом срок по адресу первого заявителя, а также на его электронную почту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bookmarkStart w:id="0" w:name="_GoBack"/>
      <w:bookmarkEnd w:id="0"/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ПОДПИСИ заявителей по настоящей жалобе:</w:t>
      </w:r>
    </w:p>
    <w:sectPr>
      <w:footerReference r:id="rId5" w:type="default"/>
      <w:pgSz w:w="11906" w:h="16838"/>
      <w:pgMar w:top="568" w:right="720" w:bottom="426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45378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5D"/>
    <w:rsid w:val="00074D47"/>
    <w:rsid w:val="0008659F"/>
    <w:rsid w:val="00094C2D"/>
    <w:rsid w:val="000A4EF9"/>
    <w:rsid w:val="000A63D1"/>
    <w:rsid w:val="000B5137"/>
    <w:rsid w:val="000D7636"/>
    <w:rsid w:val="00107E29"/>
    <w:rsid w:val="001154A4"/>
    <w:rsid w:val="001A03D8"/>
    <w:rsid w:val="001F44BC"/>
    <w:rsid w:val="002449CF"/>
    <w:rsid w:val="00263D09"/>
    <w:rsid w:val="00273823"/>
    <w:rsid w:val="002A153D"/>
    <w:rsid w:val="002A4A21"/>
    <w:rsid w:val="002C6EE8"/>
    <w:rsid w:val="002D2ADA"/>
    <w:rsid w:val="002D6C1E"/>
    <w:rsid w:val="002E53E1"/>
    <w:rsid w:val="002E6C45"/>
    <w:rsid w:val="0030729A"/>
    <w:rsid w:val="00312D6F"/>
    <w:rsid w:val="00314FE2"/>
    <w:rsid w:val="00321A08"/>
    <w:rsid w:val="00324235"/>
    <w:rsid w:val="00336AB6"/>
    <w:rsid w:val="003427FD"/>
    <w:rsid w:val="00354A61"/>
    <w:rsid w:val="00360159"/>
    <w:rsid w:val="003A48AA"/>
    <w:rsid w:val="0041154C"/>
    <w:rsid w:val="004311DD"/>
    <w:rsid w:val="0043678F"/>
    <w:rsid w:val="004633A7"/>
    <w:rsid w:val="004643AB"/>
    <w:rsid w:val="00464B2E"/>
    <w:rsid w:val="004713FE"/>
    <w:rsid w:val="0048263B"/>
    <w:rsid w:val="0049278D"/>
    <w:rsid w:val="004E4F17"/>
    <w:rsid w:val="004E56CB"/>
    <w:rsid w:val="004F70B7"/>
    <w:rsid w:val="0050795B"/>
    <w:rsid w:val="005474E7"/>
    <w:rsid w:val="005A7D24"/>
    <w:rsid w:val="005C2A96"/>
    <w:rsid w:val="005D1F08"/>
    <w:rsid w:val="005F7FBF"/>
    <w:rsid w:val="00612E8E"/>
    <w:rsid w:val="00661A7E"/>
    <w:rsid w:val="0067241D"/>
    <w:rsid w:val="006779FD"/>
    <w:rsid w:val="00691A22"/>
    <w:rsid w:val="00693020"/>
    <w:rsid w:val="00694129"/>
    <w:rsid w:val="006A444B"/>
    <w:rsid w:val="006C38D7"/>
    <w:rsid w:val="006D7209"/>
    <w:rsid w:val="006F20FB"/>
    <w:rsid w:val="006F7EC2"/>
    <w:rsid w:val="00702B74"/>
    <w:rsid w:val="00761B15"/>
    <w:rsid w:val="00773D58"/>
    <w:rsid w:val="00777031"/>
    <w:rsid w:val="007A4732"/>
    <w:rsid w:val="007E1E9E"/>
    <w:rsid w:val="0080371B"/>
    <w:rsid w:val="00805E10"/>
    <w:rsid w:val="0082327B"/>
    <w:rsid w:val="008265AB"/>
    <w:rsid w:val="008647F9"/>
    <w:rsid w:val="0088004D"/>
    <w:rsid w:val="00893870"/>
    <w:rsid w:val="008958D1"/>
    <w:rsid w:val="008C0360"/>
    <w:rsid w:val="008E4CD3"/>
    <w:rsid w:val="008F0EB3"/>
    <w:rsid w:val="00904600"/>
    <w:rsid w:val="009049D3"/>
    <w:rsid w:val="0094544F"/>
    <w:rsid w:val="00952BF4"/>
    <w:rsid w:val="009774EB"/>
    <w:rsid w:val="009B1F71"/>
    <w:rsid w:val="009C50EB"/>
    <w:rsid w:val="009D3327"/>
    <w:rsid w:val="00A01754"/>
    <w:rsid w:val="00A327FF"/>
    <w:rsid w:val="00A44132"/>
    <w:rsid w:val="00A57645"/>
    <w:rsid w:val="00A6605D"/>
    <w:rsid w:val="00A75898"/>
    <w:rsid w:val="00A810EC"/>
    <w:rsid w:val="00AA3AA8"/>
    <w:rsid w:val="00AD3859"/>
    <w:rsid w:val="00B02463"/>
    <w:rsid w:val="00B242AA"/>
    <w:rsid w:val="00B3151E"/>
    <w:rsid w:val="00B434B0"/>
    <w:rsid w:val="00B46E2F"/>
    <w:rsid w:val="00B615E8"/>
    <w:rsid w:val="00B87CA3"/>
    <w:rsid w:val="00BA0422"/>
    <w:rsid w:val="00BC59BF"/>
    <w:rsid w:val="00BD6865"/>
    <w:rsid w:val="00BE47BE"/>
    <w:rsid w:val="00C1379A"/>
    <w:rsid w:val="00C173D0"/>
    <w:rsid w:val="00C41AE5"/>
    <w:rsid w:val="00C421B7"/>
    <w:rsid w:val="00C54772"/>
    <w:rsid w:val="00C616B1"/>
    <w:rsid w:val="00C67CE2"/>
    <w:rsid w:val="00C77F94"/>
    <w:rsid w:val="00C909CE"/>
    <w:rsid w:val="00CA1609"/>
    <w:rsid w:val="00D13E19"/>
    <w:rsid w:val="00D50A93"/>
    <w:rsid w:val="00D51364"/>
    <w:rsid w:val="00D923BF"/>
    <w:rsid w:val="00D96128"/>
    <w:rsid w:val="00DA49A7"/>
    <w:rsid w:val="00DA644D"/>
    <w:rsid w:val="00DC2F41"/>
    <w:rsid w:val="00DC3EBD"/>
    <w:rsid w:val="00DC481D"/>
    <w:rsid w:val="00DD26C2"/>
    <w:rsid w:val="00DD6926"/>
    <w:rsid w:val="00DF5C0C"/>
    <w:rsid w:val="00E05EA0"/>
    <w:rsid w:val="00E10532"/>
    <w:rsid w:val="00E1410A"/>
    <w:rsid w:val="00E16E31"/>
    <w:rsid w:val="00E372E7"/>
    <w:rsid w:val="00E427C2"/>
    <w:rsid w:val="00E57D32"/>
    <w:rsid w:val="00E72765"/>
    <w:rsid w:val="00E81433"/>
    <w:rsid w:val="00EB65FF"/>
    <w:rsid w:val="00EC14A9"/>
    <w:rsid w:val="00EF02F2"/>
    <w:rsid w:val="00EF4AC0"/>
    <w:rsid w:val="00F16689"/>
    <w:rsid w:val="00F22FBF"/>
    <w:rsid w:val="00F675D5"/>
    <w:rsid w:val="00F7468E"/>
    <w:rsid w:val="00F76D1E"/>
    <w:rsid w:val="00FE1059"/>
    <w:rsid w:val="23F550DB"/>
    <w:rsid w:val="346A3E7F"/>
    <w:rsid w:val="4D3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2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Основной текст_"/>
    <w:basedOn w:val="2"/>
    <w:link w:val="10"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0">
    <w:name w:val="Основной текст2"/>
    <w:basedOn w:val="1"/>
    <w:link w:val="9"/>
    <w:uiPriority w:val="0"/>
    <w:pPr>
      <w:shd w:val="clear" w:color="auto" w:fill="FFFFFF"/>
      <w:spacing w:after="0" w:line="293" w:lineRule="exact"/>
      <w:ind w:hanging="360"/>
    </w:pPr>
    <w:rPr>
      <w:rFonts w:ascii="Times New Roman" w:hAnsi="Times New Roman" w:eastAsia="Times New Roman" w:cs="Times New Roman"/>
    </w:rPr>
  </w:style>
  <w:style w:type="character" w:customStyle="1" w:styleId="11">
    <w:name w:val="Заголовок №1_"/>
    <w:basedOn w:val="2"/>
    <w:link w:val="12"/>
    <w:locked/>
    <w:uiPriority w:val="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1"/>
    <w:link w:val="11"/>
    <w:uiPriority w:val="0"/>
    <w:pPr>
      <w:shd w:val="clear" w:color="auto" w:fill="FFFFFF"/>
      <w:spacing w:after="0" w:line="0" w:lineRule="atLeast"/>
      <w:outlineLvl w:val="0"/>
    </w:pPr>
    <w:rPr>
      <w:rFonts w:ascii="Times New Roman" w:hAnsi="Times New Roman" w:eastAsia="Times New Roman" w:cs="Times New Roman"/>
      <w:sz w:val="25"/>
      <w:szCs w:val="25"/>
    </w:rPr>
  </w:style>
  <w:style w:type="character" w:customStyle="1" w:styleId="13">
    <w:name w:val="Основной текст (3)_"/>
    <w:basedOn w:val="2"/>
    <w:link w:val="14"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4">
    <w:name w:val="Основной текст (3)"/>
    <w:basedOn w:val="1"/>
    <w:link w:val="13"/>
    <w:uiPriority w:val="0"/>
    <w:pPr>
      <w:shd w:val="clear" w:color="auto" w:fill="FFFFFF"/>
      <w:spacing w:after="0" w:line="235" w:lineRule="exact"/>
      <w:jc w:val="center"/>
    </w:pPr>
    <w:rPr>
      <w:rFonts w:ascii="Times New Roman" w:hAnsi="Times New Roman" w:eastAsia="Times New Roman" w:cs="Times New Roman"/>
    </w:rPr>
  </w:style>
  <w:style w:type="character" w:customStyle="1" w:styleId="15">
    <w:name w:val="Основной текст + 11 pt"/>
    <w:basedOn w:val="9"/>
    <w:uiPriority w:val="0"/>
    <w:rPr>
      <w:rFonts w:ascii="Times New Roman" w:hAnsi="Times New Roman" w:eastAsia="Times New Roman" w:cs="Times New Roman"/>
      <w:sz w:val="22"/>
      <w:szCs w:val="22"/>
      <w:shd w:val="clear" w:color="auto" w:fill="FFFFFF"/>
    </w:rPr>
  </w:style>
  <w:style w:type="character" w:customStyle="1" w:styleId="16">
    <w:name w:val="Основной текст (2)"/>
    <w:basedOn w:val="2"/>
    <w:uiPriority w:val="0"/>
    <w:rPr>
      <w:rFonts w:hint="default" w:ascii="Times New Roman" w:hAnsi="Times New Roman" w:eastAsia="Times New Roman" w:cs="Times New Roman"/>
      <w:spacing w:val="0"/>
      <w:sz w:val="24"/>
      <w:szCs w:val="24"/>
      <w:u w:val="single"/>
      <w:lang w:val="en-US"/>
    </w:rPr>
  </w:style>
  <w:style w:type="character" w:customStyle="1" w:styleId="17">
    <w:name w:val="Заголовок №1 + Интервал -1 pt"/>
    <w:basedOn w:val="11"/>
    <w:uiPriority w:val="0"/>
    <w:rPr>
      <w:rFonts w:ascii="Times New Roman" w:hAnsi="Times New Roman" w:eastAsia="Times New Roman" w:cs="Times New Roman"/>
      <w:spacing w:val="-30"/>
      <w:sz w:val="25"/>
      <w:szCs w:val="25"/>
      <w:shd w:val="clear" w:color="auto" w:fill="FFFFFF"/>
    </w:rPr>
  </w:style>
  <w:style w:type="character" w:customStyle="1" w:styleId="18">
    <w:name w:val="Заголовок №1 + 12 pt"/>
    <w:basedOn w:val="11"/>
    <w:uiPriority w:val="0"/>
    <w:rPr>
      <w:rFonts w:ascii="Times New Roman" w:hAnsi="Times New Roman" w:eastAsia="Times New Roman" w:cs="Times New Roman"/>
      <w:i/>
      <w:iCs/>
      <w:sz w:val="24"/>
      <w:szCs w:val="24"/>
      <w:shd w:val="clear" w:color="auto" w:fill="FFFFFF"/>
    </w:rPr>
  </w:style>
  <w:style w:type="character" w:customStyle="1" w:styleId="19">
    <w:name w:val="Основной текст (3) + Полужирный"/>
    <w:basedOn w:val="13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customStyle="1" w:styleId="20">
    <w:name w:val="Заголовок №1 + 10;5 pt;Масштаб 100%"/>
    <w:basedOn w:val="11"/>
    <w:uiPriority w:val="0"/>
    <w:rPr>
      <w:rFonts w:ascii="Times New Roman" w:hAnsi="Times New Roman" w:eastAsia="Times New Roman" w:cs="Times New Roman"/>
      <w:w w:val="100"/>
      <w:sz w:val="21"/>
      <w:szCs w:val="21"/>
      <w:shd w:val="clear" w:color="auto" w:fill="FFFFFF"/>
    </w:rPr>
  </w:style>
  <w:style w:type="character" w:customStyle="1" w:styleId="21">
    <w:name w:val="Основной текст + Интервал 1 pt"/>
    <w:basedOn w:val="9"/>
    <w:uiPriority w:val="0"/>
    <w:rPr>
      <w:rFonts w:ascii="Times New Roman" w:hAnsi="Times New Roman" w:eastAsia="Times New Roman" w:cs="Times New Roman"/>
      <w:spacing w:val="30"/>
      <w:sz w:val="21"/>
      <w:szCs w:val="21"/>
      <w:shd w:val="clear" w:color="auto" w:fill="FFFFFF"/>
    </w:rPr>
  </w:style>
  <w:style w:type="character" w:customStyle="1" w:styleId="22">
    <w:name w:val="Основной текст1"/>
    <w:basedOn w:val="9"/>
    <w:uiPriority w:val="0"/>
    <w:rPr>
      <w:rFonts w:ascii="Times New Roman" w:hAnsi="Times New Roman" w:eastAsia="Times New Roman" w:cs="Times New Roman"/>
      <w:sz w:val="21"/>
      <w:szCs w:val="21"/>
      <w:u w:val="single"/>
      <w:shd w:val="clear" w:color="auto" w:fill="FFFFFF"/>
    </w:rPr>
  </w:style>
  <w:style w:type="character" w:customStyle="1" w:styleId="23">
    <w:name w:val="Основной текст + 11;5 pt;Полужирный;Интервал 0 pt"/>
    <w:basedOn w:val="9"/>
    <w:uiPriority w:val="0"/>
    <w:rPr>
      <w:rFonts w:ascii="Times New Roman" w:hAnsi="Times New Roman" w:eastAsia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4">
    <w:name w:val="Основной текст (5)_"/>
    <w:basedOn w:val="2"/>
    <w:link w:val="25"/>
    <w:uiPriority w:val="0"/>
    <w:rPr>
      <w:rFonts w:ascii="Times New Roman" w:hAnsi="Times New Roman" w:eastAsia="Times New Roman" w:cs="Times New Roman"/>
      <w:sz w:val="14"/>
      <w:szCs w:val="14"/>
      <w:shd w:val="clear" w:color="auto" w:fill="FFFFFF"/>
    </w:rPr>
  </w:style>
  <w:style w:type="paragraph" w:customStyle="1" w:styleId="25">
    <w:name w:val="Основной текст (5)"/>
    <w:basedOn w:val="1"/>
    <w:link w:val="24"/>
    <w:uiPriority w:val="0"/>
    <w:pPr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z w:val="14"/>
      <w:szCs w:val="14"/>
    </w:rPr>
  </w:style>
  <w:style w:type="character" w:customStyle="1" w:styleId="26">
    <w:name w:val="Основной текст + 13 pt;Масштаб 80%"/>
    <w:basedOn w:val="9"/>
    <w:uiPriority w:val="0"/>
    <w:rPr>
      <w:rFonts w:ascii="Times New Roman" w:hAnsi="Times New Roman" w:eastAsia="Times New Roman" w:cs="Times New Roman"/>
      <w:w w:val="80"/>
      <w:sz w:val="26"/>
      <w:szCs w:val="26"/>
      <w:shd w:val="clear" w:color="auto" w:fill="FFFFFF"/>
    </w:rPr>
  </w:style>
  <w:style w:type="paragraph" w:customStyle="1" w:styleId="27">
    <w:name w:val="article-render__block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Верхний колонтитул Знак"/>
    <w:basedOn w:val="2"/>
    <w:link w:val="5"/>
    <w:uiPriority w:val="99"/>
  </w:style>
  <w:style w:type="character" w:customStyle="1" w:styleId="2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1264</Words>
  <Characters>7206</Characters>
  <Lines>60</Lines>
  <Paragraphs>16</Paragraphs>
  <TotalTime>77</TotalTime>
  <ScaleCrop>false</ScaleCrop>
  <LinksUpToDate>false</LinksUpToDate>
  <CharactersWithSpaces>8454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2023-07-24T19:55:00Z</dcterms:created>
  <dc:creator>Бояркины</dc:creator>
  <cp:lastModifiedBy>УФК по РА</cp:lastModifiedBy>
  <dcterms:modified xsi:type="dcterms:W3CDTF">2023-11-27T22:40:55Z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9D5A68EEA15343599E19A6BB49713F9E_13</vt:lpwstr>
  </property>
</Properties>
</file>